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614A" w14:textId="6721B6F4"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A57F75">
        <w:rPr>
          <w:rFonts w:ascii="Invesco Interstate Bold" w:hAnsi="Invesco Interstate Bold"/>
          <w:b/>
          <w:bCs/>
          <w:sz w:val="28"/>
          <w:szCs w:val="28"/>
        </w:rPr>
        <w:t>Centrální bankéři se v Jackson Hole drží scénáře</w:t>
      </w:r>
    </w:p>
    <w:p w14:paraId="7B6388C7" w14:textId="77777777" w:rsidR="001F6A31" w:rsidRPr="001F6A31" w:rsidRDefault="001F6A31" w:rsidP="00916408">
      <w:pPr>
        <w:spacing w:before="100" w:beforeAutospacing="1" w:afterAutospacing="1" w:line="240" w:lineRule="auto"/>
        <w:jc w:val="both"/>
        <w:rPr>
          <w:rFonts w:ascii="Invesco Interstate Bold" w:hAnsi="Invesco Interstate Bold"/>
          <w:b/>
          <w:bCs/>
          <w:sz w:val="24"/>
          <w:szCs w:val="24"/>
        </w:rPr>
      </w:pPr>
      <w:r w:rsidRPr="001F6A31">
        <w:rPr>
          <w:rFonts w:ascii="Invesco Interstate Bold" w:hAnsi="Invesco Interstate Bold"/>
          <w:b/>
          <w:bCs/>
          <w:sz w:val="24"/>
          <w:szCs w:val="24"/>
        </w:rPr>
        <w:t xml:space="preserve">Komentář Kristiny </w:t>
      </w:r>
      <w:proofErr w:type="spellStart"/>
      <w:r w:rsidRPr="001F6A31">
        <w:rPr>
          <w:rFonts w:ascii="Invesco Interstate Bold" w:hAnsi="Invesco Interstate Bold"/>
          <w:b/>
          <w:bCs/>
          <w:sz w:val="24"/>
          <w:szCs w:val="24"/>
        </w:rPr>
        <w:t>Hooper</w:t>
      </w:r>
      <w:proofErr w:type="spellEnd"/>
      <w:r w:rsidRPr="001F6A31">
        <w:rPr>
          <w:rFonts w:ascii="Invesco Interstate Bold" w:hAnsi="Invesco Interstate Bold"/>
          <w:b/>
          <w:bCs/>
          <w:sz w:val="24"/>
          <w:szCs w:val="24"/>
        </w:rPr>
        <w:t xml:space="preserve">, vedoucí stratéžky pro globální trhy, </w:t>
      </w:r>
      <w:proofErr w:type="spellStart"/>
      <w:r w:rsidRPr="001F6A31">
        <w:rPr>
          <w:rFonts w:ascii="Invesco Interstate Bold" w:hAnsi="Invesco Interstate Bold"/>
          <w:b/>
          <w:bCs/>
          <w:sz w:val="24"/>
          <w:szCs w:val="24"/>
        </w:rPr>
        <w:t>Invesco</w:t>
      </w:r>
      <w:proofErr w:type="spellEnd"/>
      <w:r w:rsidRPr="001F6A31">
        <w:rPr>
          <w:rFonts w:ascii="Invesco Interstate Bold" w:hAnsi="Invesco Interstate Bold"/>
          <w:b/>
          <w:bCs/>
          <w:sz w:val="24"/>
          <w:szCs w:val="24"/>
        </w:rPr>
        <w:t xml:space="preserve"> Ltd.</w:t>
      </w:r>
    </w:p>
    <w:p w14:paraId="45DADAB7" w14:textId="0F58CFEE" w:rsidR="00DE00F5" w:rsidRDefault="0017488B" w:rsidP="00DE00F5">
      <w:pPr>
        <w:spacing w:before="100" w:beforeAutospacing="1" w:afterAutospacing="1" w:line="276" w:lineRule="auto"/>
        <w:jc w:val="both"/>
        <w:rPr>
          <w:rFonts w:ascii="Invesco Interstate Bold" w:hAnsi="Invesco Interstate Bold"/>
          <w:b/>
          <w:bCs/>
          <w:sz w:val="24"/>
          <w:szCs w:val="24"/>
        </w:rPr>
      </w:pPr>
      <w:r>
        <w:rPr>
          <w:rFonts w:ascii="Invesco Interstate Bold" w:hAnsi="Invesco Interstate Bold"/>
          <w:b/>
          <w:bCs/>
          <w:sz w:val="24"/>
          <w:szCs w:val="24"/>
        </w:rPr>
        <w:t>Minulý týden se v Jackson Hole konalo dlouho očekávané ekonomické sympozium.</w:t>
      </w:r>
      <w:r w:rsidR="00DE00F5">
        <w:rPr>
          <w:rFonts w:ascii="Invesco Interstate Bold" w:hAnsi="Invesco Interstate Bold"/>
          <w:b/>
          <w:bCs/>
          <w:sz w:val="24"/>
          <w:szCs w:val="24"/>
        </w:rPr>
        <w:t xml:space="preserve"> </w:t>
      </w:r>
      <w:r w:rsidR="00DE00F5" w:rsidRPr="00DE00F5">
        <w:rPr>
          <w:rFonts w:ascii="Invesco Interstate Bold" w:hAnsi="Invesco Interstate Bold"/>
          <w:b/>
          <w:bCs/>
          <w:sz w:val="24"/>
          <w:szCs w:val="24"/>
        </w:rPr>
        <w:t xml:space="preserve">Pro ekonomy i pozorovatele je to jedna z "povinných" akcí, podobně jako konference v portugalské </w:t>
      </w:r>
      <w:proofErr w:type="spellStart"/>
      <w:r w:rsidR="00DE00F5" w:rsidRPr="00DE00F5">
        <w:rPr>
          <w:rFonts w:ascii="Invesco Interstate Bold" w:hAnsi="Invesco Interstate Bold"/>
          <w:b/>
          <w:bCs/>
          <w:sz w:val="24"/>
          <w:szCs w:val="24"/>
        </w:rPr>
        <w:t>Sintře</w:t>
      </w:r>
      <w:proofErr w:type="spellEnd"/>
      <w:r w:rsidR="00DE00F5" w:rsidRPr="00DE00F5">
        <w:rPr>
          <w:rFonts w:ascii="Invesco Interstate Bold" w:hAnsi="Invesco Interstate Bold"/>
          <w:b/>
          <w:bCs/>
          <w:sz w:val="24"/>
          <w:szCs w:val="24"/>
        </w:rPr>
        <w:t>. Jak jsem vysvětlila svému nejstaršímu synovi, začínajícímu scenáristovi: „Je to jako okouzlující, hvězdně obsazená přehlídka filmů – je ale pro ekonomy místo filmařů." Abychom toto přirovnání posunuli ještě o kousek dál, přinášíme vám rekapitulaci sympozia v Jackson Hole inspirovanou stříbrným plátnem.</w:t>
      </w:r>
    </w:p>
    <w:p w14:paraId="31C22B3E" w14:textId="67FEE2EE" w:rsidR="005B47D2" w:rsidRDefault="00DE00F5" w:rsidP="00203AEC">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Fed se představuje jako „Terminátorů inflace</w:t>
      </w:r>
    </w:p>
    <w:p w14:paraId="28E80408" w14:textId="77777777" w:rsidR="00DE00F5" w:rsidRPr="00DE00F5" w:rsidRDefault="00DE00F5" w:rsidP="00DE00F5">
      <w:pPr>
        <w:spacing w:line="276" w:lineRule="auto"/>
        <w:jc w:val="both"/>
        <w:rPr>
          <w:rFonts w:ascii="Invesco Interstate Light" w:eastAsiaTheme="minorEastAsia" w:hAnsi="Invesco Interstate Light"/>
          <w:sz w:val="22"/>
          <w:szCs w:val="22"/>
        </w:rPr>
      </w:pPr>
      <w:r w:rsidRPr="00DE00F5">
        <w:rPr>
          <w:rFonts w:ascii="Invesco Interstate Light" w:eastAsiaTheme="minorEastAsia" w:hAnsi="Invesco Interstate Light"/>
          <w:sz w:val="22"/>
          <w:szCs w:val="22"/>
        </w:rPr>
        <w:t xml:space="preserve">Předseda Federálního rezervního systému (Fed) </w:t>
      </w:r>
      <w:proofErr w:type="spellStart"/>
      <w:r w:rsidRPr="00DE00F5">
        <w:rPr>
          <w:rFonts w:ascii="Invesco Interstate Light" w:eastAsiaTheme="minorEastAsia" w:hAnsi="Invesco Interstate Light"/>
          <w:sz w:val="22"/>
          <w:szCs w:val="22"/>
        </w:rPr>
        <w:t>Jay</w:t>
      </w:r>
      <w:proofErr w:type="spellEnd"/>
      <w:r w:rsidRPr="00DE00F5">
        <w:rPr>
          <w:rFonts w:ascii="Invesco Interstate Light" w:eastAsiaTheme="minorEastAsia" w:hAnsi="Invesco Interstate Light"/>
          <w:sz w:val="22"/>
          <w:szCs w:val="22"/>
        </w:rPr>
        <w:t xml:space="preserve"> </w:t>
      </w:r>
      <w:proofErr w:type="spellStart"/>
      <w:r w:rsidRPr="00DE00F5">
        <w:rPr>
          <w:rFonts w:ascii="Invesco Interstate Light" w:eastAsiaTheme="minorEastAsia" w:hAnsi="Invesco Interstate Light"/>
          <w:sz w:val="22"/>
          <w:szCs w:val="22"/>
        </w:rPr>
        <w:t>Powell</w:t>
      </w:r>
      <w:proofErr w:type="spellEnd"/>
      <w:r w:rsidRPr="00DE00F5">
        <w:rPr>
          <w:rFonts w:ascii="Invesco Interstate Light" w:eastAsiaTheme="minorEastAsia" w:hAnsi="Invesco Interstate Light"/>
          <w:sz w:val="22"/>
          <w:szCs w:val="22"/>
        </w:rPr>
        <w:t xml:space="preserve"> naplnil očekávaný scénář a přednesl převážně jestřábí poselství. Ne, nevěřím, že Fed opět zvýší sazby, ale </w:t>
      </w:r>
      <w:proofErr w:type="spellStart"/>
      <w:r w:rsidRPr="00DE00F5">
        <w:rPr>
          <w:rFonts w:ascii="Invesco Interstate Light" w:eastAsiaTheme="minorEastAsia" w:hAnsi="Invesco Interstate Light"/>
          <w:sz w:val="22"/>
          <w:szCs w:val="22"/>
        </w:rPr>
        <w:t>Powell</w:t>
      </w:r>
      <w:proofErr w:type="spellEnd"/>
      <w:r w:rsidRPr="00DE00F5">
        <w:rPr>
          <w:rFonts w:ascii="Invesco Interstate Light" w:eastAsiaTheme="minorEastAsia" w:hAnsi="Invesco Interstate Light"/>
          <w:sz w:val="22"/>
          <w:szCs w:val="22"/>
        </w:rPr>
        <w:t xml:space="preserve"> musí mluvit tvrdě, což také udělal. Řekněme, že se snažil prosadit názor, že je „Terminátorem“ inflace.</w:t>
      </w:r>
    </w:p>
    <w:p w14:paraId="429ECFAB" w14:textId="77777777" w:rsidR="00DE00F5" w:rsidRDefault="00DE00F5" w:rsidP="00DE00F5"/>
    <w:p w14:paraId="03025962" w14:textId="03A3EBEF" w:rsidR="00DE00F5" w:rsidRPr="00DE00F5" w:rsidRDefault="00DE00F5" w:rsidP="00DE00F5">
      <w:pPr>
        <w:spacing w:line="276" w:lineRule="auto"/>
        <w:jc w:val="both"/>
        <w:rPr>
          <w:rFonts w:ascii="Invesco Interstate Light" w:eastAsiaTheme="minorEastAsia" w:hAnsi="Invesco Interstate Light"/>
          <w:sz w:val="22"/>
          <w:szCs w:val="22"/>
        </w:rPr>
      </w:pPr>
      <w:proofErr w:type="spellStart"/>
      <w:r w:rsidRPr="00DE00F5">
        <w:rPr>
          <w:rFonts w:ascii="Invesco Interstate Light" w:eastAsiaTheme="minorEastAsia" w:hAnsi="Invesco Interstate Light"/>
          <w:sz w:val="22"/>
          <w:szCs w:val="22"/>
        </w:rPr>
        <w:t>Powell</w:t>
      </w:r>
      <w:proofErr w:type="spellEnd"/>
      <w:r w:rsidRPr="00DE00F5">
        <w:rPr>
          <w:rFonts w:ascii="Invesco Interstate Light" w:eastAsiaTheme="minorEastAsia" w:hAnsi="Invesco Interstate Light"/>
          <w:sz w:val="22"/>
          <w:szCs w:val="22"/>
        </w:rPr>
        <w:t xml:space="preserve"> na začátku přiznal, že bude mít delší projev než loni (téměř dvojnásobek času, který spotřeboval v roce 2022), ale se stejným poselstvím: </w:t>
      </w:r>
      <w:r w:rsidRPr="00DE00F5">
        <w:rPr>
          <w:rFonts w:ascii="Invesco Interstate Light" w:eastAsiaTheme="minorEastAsia" w:hAnsi="Invesco Interstate Light"/>
          <w:i/>
          <w:iCs/>
          <w:sz w:val="22"/>
          <w:szCs w:val="22"/>
        </w:rPr>
        <w:t xml:space="preserve">„Na loňském sympoziu v Jackson Hole jsem to přednesl stručně a jasně. Mé letošní vystoupení bude o něco delší, ale poselství je stejné: úkolem </w:t>
      </w:r>
      <w:proofErr w:type="spellStart"/>
      <w:r w:rsidRPr="00DE00F5">
        <w:rPr>
          <w:rFonts w:ascii="Invesco Interstate Light" w:eastAsiaTheme="minorEastAsia" w:hAnsi="Invesco Interstate Light"/>
          <w:i/>
          <w:iCs/>
          <w:sz w:val="22"/>
          <w:szCs w:val="22"/>
        </w:rPr>
        <w:t>Fedu</w:t>
      </w:r>
      <w:proofErr w:type="spellEnd"/>
      <w:r w:rsidRPr="00DE00F5">
        <w:rPr>
          <w:rFonts w:ascii="Invesco Interstate Light" w:eastAsiaTheme="minorEastAsia" w:hAnsi="Invesco Interstate Light"/>
          <w:i/>
          <w:iCs/>
          <w:sz w:val="22"/>
          <w:szCs w:val="22"/>
        </w:rPr>
        <w:t xml:space="preserve"> je snížit inflaci na náš dvouprocentní cíl a my to uděláme... "</w:t>
      </w:r>
    </w:p>
    <w:p w14:paraId="1EE7D145" w14:textId="77777777" w:rsidR="00DE00F5" w:rsidRDefault="00DE00F5" w:rsidP="00DE00F5"/>
    <w:p w14:paraId="44FFDC46" w14:textId="53FE8A59" w:rsidR="00203AEC" w:rsidRDefault="00DE00F5" w:rsidP="00DE00F5">
      <w:pPr>
        <w:spacing w:line="276" w:lineRule="auto"/>
        <w:jc w:val="both"/>
        <w:rPr>
          <w:rFonts w:ascii="Invesco Interstate Light" w:eastAsiaTheme="minorEastAsia" w:hAnsi="Invesco Interstate Light"/>
          <w:sz w:val="22"/>
          <w:szCs w:val="22"/>
        </w:rPr>
      </w:pPr>
      <w:r w:rsidRPr="00DE00F5">
        <w:rPr>
          <w:rFonts w:ascii="Invesco Interstate Light" w:eastAsiaTheme="minorEastAsia" w:hAnsi="Invesco Interstate Light"/>
          <w:sz w:val="22"/>
          <w:szCs w:val="22"/>
        </w:rPr>
        <w:t xml:space="preserve">Jasně řekl, že </w:t>
      </w:r>
      <w:r w:rsidRPr="00DE00F5">
        <w:rPr>
          <w:rFonts w:ascii="Invesco Interstate Light" w:eastAsiaTheme="minorEastAsia" w:hAnsi="Invesco Interstate Light"/>
          <w:i/>
          <w:iCs/>
          <w:sz w:val="22"/>
          <w:szCs w:val="22"/>
        </w:rPr>
        <w:t>„... ačkoli se inflace posunula od svého vrcholu směrem dolů... zůstává stále příliš vysoká"</w:t>
      </w:r>
      <w:r w:rsidRPr="00DE00F5">
        <w:rPr>
          <w:rFonts w:ascii="Invesco Interstate Light" w:eastAsiaTheme="minorEastAsia" w:hAnsi="Invesco Interstate Light"/>
          <w:sz w:val="22"/>
          <w:szCs w:val="22"/>
        </w:rPr>
        <w:t xml:space="preserve"> a že Fed </w:t>
      </w:r>
      <w:r w:rsidRPr="00DE00F5">
        <w:rPr>
          <w:rFonts w:ascii="Invesco Interstate Light" w:eastAsiaTheme="minorEastAsia" w:hAnsi="Invesco Interstate Light"/>
          <w:i/>
          <w:iCs/>
          <w:sz w:val="22"/>
          <w:szCs w:val="22"/>
        </w:rPr>
        <w:t>„pozorně sleduje známky toho, že ekonomika možná neochlazuje tak, jak se očekávalo."</w:t>
      </w:r>
      <w:r w:rsidRPr="00DE00F5">
        <w:rPr>
          <w:rFonts w:ascii="Invesco Interstate Light" w:eastAsiaTheme="minorEastAsia" w:hAnsi="Invesco Interstate Light"/>
          <w:sz w:val="22"/>
          <w:szCs w:val="22"/>
        </w:rPr>
        <w:t xml:space="preserve"> </w:t>
      </w:r>
      <w:proofErr w:type="spellStart"/>
      <w:r w:rsidRPr="00DE00F5">
        <w:rPr>
          <w:rFonts w:ascii="Invesco Interstate Light" w:eastAsiaTheme="minorEastAsia" w:hAnsi="Invesco Interstate Light"/>
          <w:sz w:val="22"/>
          <w:szCs w:val="22"/>
        </w:rPr>
        <w:t>Powell</w:t>
      </w:r>
      <w:proofErr w:type="spellEnd"/>
      <w:r w:rsidRPr="00DE00F5">
        <w:rPr>
          <w:rFonts w:ascii="Invesco Interstate Light" w:eastAsiaTheme="minorEastAsia" w:hAnsi="Invesco Interstate Light"/>
          <w:sz w:val="22"/>
          <w:szCs w:val="22"/>
        </w:rPr>
        <w:t xml:space="preserve"> uvedl, že spotřebitelské výdaje jsou silné a že sektor bydlení vykazuje známky oživení. Tyto trendy, jak prohlásil, </w:t>
      </w:r>
      <w:r w:rsidRPr="00DE00F5">
        <w:rPr>
          <w:rFonts w:ascii="Invesco Interstate Light" w:eastAsiaTheme="minorEastAsia" w:hAnsi="Invesco Interstate Light"/>
          <w:i/>
          <w:iCs/>
          <w:sz w:val="22"/>
          <w:szCs w:val="22"/>
        </w:rPr>
        <w:t>„by mohly být důvodem k dalšímu zpřísnění měnové politiky"</w:t>
      </w:r>
      <w:r w:rsidRPr="00DE00F5">
        <w:rPr>
          <w:rFonts w:ascii="Invesco Interstate Light" w:eastAsiaTheme="minorEastAsia" w:hAnsi="Invesco Interstate Light"/>
          <w:sz w:val="22"/>
          <w:szCs w:val="22"/>
        </w:rPr>
        <w:t>. Tato koncepce, kdy jako základ pro další zpřísnění je to</w:t>
      </w:r>
      <w:r>
        <w:rPr>
          <w:rFonts w:ascii="Invesco Interstate Light" w:eastAsiaTheme="minorEastAsia" w:hAnsi="Invesco Interstate Light"/>
          <w:sz w:val="22"/>
          <w:szCs w:val="22"/>
        </w:rPr>
        <w:t>,</w:t>
      </w:r>
      <w:r w:rsidRPr="00DE00F5">
        <w:rPr>
          <w:rFonts w:ascii="Invesco Interstate Light" w:eastAsiaTheme="minorEastAsia" w:hAnsi="Invesco Interstate Light"/>
          <w:sz w:val="22"/>
          <w:szCs w:val="22"/>
        </w:rPr>
        <w:t xml:space="preserve"> co bylo vidět v minulost, by mě za normálních okolností znepokojila </w:t>
      </w:r>
      <w:r w:rsidRPr="00310969">
        <w:rPr>
          <w:rFonts w:ascii="Invesco Interstate Light" w:eastAsiaTheme="minorEastAsia" w:hAnsi="Invesco Interstate Light"/>
          <w:sz w:val="22"/>
          <w:szCs w:val="22"/>
        </w:rPr>
        <w:t>–</w:t>
      </w:r>
      <w:r w:rsidRPr="00DE00F5">
        <w:rPr>
          <w:rFonts w:ascii="Invesco Interstate Light" w:eastAsiaTheme="minorEastAsia" w:hAnsi="Invesco Interstate Light"/>
          <w:sz w:val="22"/>
          <w:szCs w:val="22"/>
        </w:rPr>
        <w:t xml:space="preserve"> ale jsem přesvědčená, že jde z velké části o chvástání, jehož cílem je zkrotit případné uvolnění finančních podmínek v nevhodný čas. Koneckonců </w:t>
      </w:r>
      <w:proofErr w:type="spellStart"/>
      <w:r w:rsidRPr="00DE00F5">
        <w:rPr>
          <w:rFonts w:ascii="Invesco Interstate Light" w:eastAsiaTheme="minorEastAsia" w:hAnsi="Invesco Interstate Light"/>
          <w:sz w:val="22"/>
          <w:szCs w:val="22"/>
        </w:rPr>
        <w:t>Powell</w:t>
      </w:r>
      <w:proofErr w:type="spellEnd"/>
      <w:r w:rsidRPr="00DE00F5">
        <w:rPr>
          <w:rFonts w:ascii="Invesco Interstate Light" w:eastAsiaTheme="minorEastAsia" w:hAnsi="Invesco Interstate Light"/>
          <w:sz w:val="22"/>
          <w:szCs w:val="22"/>
        </w:rPr>
        <w:t xml:space="preserve"> uznal </w:t>
      </w:r>
      <w:r w:rsidRPr="00DE00F5">
        <w:rPr>
          <w:rFonts w:ascii="Invesco Interstate Light" w:eastAsiaTheme="minorEastAsia" w:hAnsi="Invesco Interstate Light"/>
          <w:i/>
          <w:iCs/>
          <w:sz w:val="22"/>
          <w:szCs w:val="22"/>
        </w:rPr>
        <w:t>„nejistotu ohledně délky zpoždění, s nímž zpřísňování měnové politiky ovlivňuje ekonomickou aktivitu a zejména inflaci".</w:t>
      </w:r>
    </w:p>
    <w:p w14:paraId="2B4F3C0D" w14:textId="77777777" w:rsidR="00DE00F5" w:rsidRPr="00203AEC" w:rsidRDefault="00DE00F5" w:rsidP="00DE00F5">
      <w:pPr>
        <w:spacing w:line="276" w:lineRule="auto"/>
        <w:jc w:val="both"/>
        <w:rPr>
          <w:rFonts w:ascii="Invesco Interstate Light" w:eastAsiaTheme="minorEastAsia" w:hAnsi="Invesco Interstate Light"/>
          <w:sz w:val="22"/>
          <w:szCs w:val="22"/>
        </w:rPr>
      </w:pPr>
    </w:p>
    <w:p w14:paraId="6D5FB68C" w14:textId="75FBA68A" w:rsidR="005B47D2" w:rsidRDefault="00DE00F5" w:rsidP="00203AEC">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 xml:space="preserve">Stanovil také, co by mohlo způsobit další zpřísnění </w:t>
      </w:r>
      <w:proofErr w:type="spellStart"/>
      <w:r>
        <w:rPr>
          <w:rFonts w:ascii="Invesco Interstate Light" w:hAnsi="Invesco Interstate Light"/>
          <w:b/>
          <w:bCs/>
          <w:sz w:val="22"/>
          <w:szCs w:val="22"/>
        </w:rPr>
        <w:t>Fedu</w:t>
      </w:r>
      <w:proofErr w:type="spellEnd"/>
    </w:p>
    <w:p w14:paraId="5FB341FD" w14:textId="77777777" w:rsidR="00DE00F5" w:rsidRPr="00DE00F5" w:rsidRDefault="00DE00F5" w:rsidP="00203AEC">
      <w:pPr>
        <w:autoSpaceDE w:val="0"/>
        <w:autoSpaceDN w:val="0"/>
        <w:adjustRightInd w:val="0"/>
        <w:spacing w:line="276" w:lineRule="auto"/>
        <w:rPr>
          <w:rFonts w:ascii="Invesco Interstate Light" w:eastAsiaTheme="minorEastAsia" w:hAnsi="Invesco Interstate Light"/>
          <w:sz w:val="22"/>
          <w:szCs w:val="22"/>
        </w:rPr>
      </w:pPr>
    </w:p>
    <w:p w14:paraId="7AFB7CA1" w14:textId="421A0BF2" w:rsidR="00DE00F5" w:rsidRPr="00DE00F5" w:rsidRDefault="00DE00F5" w:rsidP="00DE00F5">
      <w:pPr>
        <w:pStyle w:val="Odstavecseseznamem"/>
        <w:numPr>
          <w:ilvl w:val="0"/>
          <w:numId w:val="30"/>
        </w:numPr>
        <w:spacing w:line="276" w:lineRule="auto"/>
        <w:rPr>
          <w:rFonts w:ascii="Invesco Interstate Light" w:hAnsi="Invesco Interstate Light"/>
        </w:rPr>
      </w:pPr>
      <w:r w:rsidRPr="00DE00F5">
        <w:rPr>
          <w:rFonts w:ascii="Invesco Interstate Light" w:hAnsi="Invesco Interstate Light"/>
        </w:rPr>
        <w:t xml:space="preserve">Další důkazy o trvale </w:t>
      </w:r>
      <w:proofErr w:type="spellStart"/>
      <w:r w:rsidRPr="00DE00F5">
        <w:rPr>
          <w:rFonts w:ascii="Invesco Interstate Light" w:hAnsi="Invesco Interstate Light"/>
        </w:rPr>
        <w:t>nadtrendovém</w:t>
      </w:r>
      <w:proofErr w:type="spellEnd"/>
      <w:r w:rsidRPr="00DE00F5">
        <w:rPr>
          <w:rFonts w:ascii="Invesco Interstate Light" w:hAnsi="Invesco Interstate Light"/>
        </w:rPr>
        <w:t xml:space="preserve"> růstu</w:t>
      </w:r>
    </w:p>
    <w:p w14:paraId="1CE933F7" w14:textId="7828CED6" w:rsidR="00DE00F5" w:rsidRDefault="00DE00F5" w:rsidP="00DE00F5">
      <w:pPr>
        <w:pStyle w:val="Odstavecseseznamem"/>
        <w:numPr>
          <w:ilvl w:val="0"/>
          <w:numId w:val="30"/>
        </w:numPr>
        <w:spacing w:line="276" w:lineRule="auto"/>
        <w:rPr>
          <w:rFonts w:ascii="Invesco Interstate Light" w:hAnsi="Invesco Interstate Light"/>
        </w:rPr>
      </w:pPr>
      <w:r w:rsidRPr="00DE00F5">
        <w:rPr>
          <w:rFonts w:ascii="Invesco Interstate Light" w:hAnsi="Invesco Interstate Light"/>
        </w:rPr>
        <w:t>Důkaz, že uvolňování na trhu práce se zastavilo.</w:t>
      </w:r>
    </w:p>
    <w:p w14:paraId="46C78222" w14:textId="77777777" w:rsidR="00DE00F5" w:rsidRPr="00DE00F5" w:rsidRDefault="00DE00F5" w:rsidP="00DE00F5">
      <w:pPr>
        <w:pStyle w:val="Odstavecseseznamem"/>
        <w:spacing w:line="276" w:lineRule="auto"/>
        <w:rPr>
          <w:rFonts w:ascii="Invesco Interstate Light" w:hAnsi="Invesco Interstate Light"/>
        </w:rPr>
      </w:pPr>
    </w:p>
    <w:p w14:paraId="4328D9C3" w14:textId="3CD1A743" w:rsidR="00DE00F5" w:rsidRPr="00DE00F5" w:rsidRDefault="00DE00F5" w:rsidP="00DE00F5">
      <w:pPr>
        <w:spacing w:line="276" w:lineRule="auto"/>
        <w:rPr>
          <w:rFonts w:ascii="Invesco Interstate Light" w:eastAsiaTheme="minorEastAsia" w:hAnsi="Invesco Interstate Light"/>
          <w:i/>
          <w:iCs/>
          <w:sz w:val="22"/>
          <w:szCs w:val="22"/>
        </w:rPr>
      </w:pPr>
      <w:r w:rsidRPr="00DE00F5">
        <w:rPr>
          <w:rFonts w:ascii="Invesco Interstate Light" w:eastAsiaTheme="minorEastAsia" w:hAnsi="Invesco Interstate Light"/>
          <w:sz w:val="22"/>
          <w:szCs w:val="22"/>
        </w:rPr>
        <w:t xml:space="preserve">Na závěr sdělil důvody, proč by měl být Fed opatrný: </w:t>
      </w:r>
      <w:r w:rsidRPr="00DE00F5">
        <w:rPr>
          <w:rFonts w:ascii="Invesco Interstate Light" w:eastAsiaTheme="minorEastAsia" w:hAnsi="Invesco Interstate Light"/>
          <w:i/>
          <w:iCs/>
          <w:sz w:val="22"/>
          <w:szCs w:val="22"/>
        </w:rPr>
        <w:t>„Řídíme se podle hvězd na zamračené obloze."</w:t>
      </w:r>
    </w:p>
    <w:p w14:paraId="121F6254" w14:textId="77777777" w:rsidR="00DE00F5" w:rsidRDefault="00DE00F5" w:rsidP="00A83F9A">
      <w:pPr>
        <w:spacing w:before="100" w:beforeAutospacing="1" w:afterAutospacing="1" w:line="276" w:lineRule="auto"/>
        <w:jc w:val="both"/>
        <w:rPr>
          <w:rFonts w:ascii="Invesco Interstate Light" w:hAnsi="Invesco Interstate Light"/>
          <w:b/>
          <w:bCs/>
          <w:sz w:val="22"/>
          <w:szCs w:val="22"/>
        </w:rPr>
      </w:pPr>
    </w:p>
    <w:p w14:paraId="7DEA223B" w14:textId="77777777" w:rsidR="00DE00F5" w:rsidRDefault="00DE00F5" w:rsidP="00A83F9A">
      <w:pPr>
        <w:spacing w:before="100" w:beforeAutospacing="1" w:afterAutospacing="1" w:line="276" w:lineRule="auto"/>
        <w:jc w:val="both"/>
        <w:rPr>
          <w:rFonts w:ascii="Invesco Interstate Light" w:hAnsi="Invesco Interstate Light"/>
          <w:b/>
          <w:bCs/>
          <w:sz w:val="22"/>
          <w:szCs w:val="22"/>
        </w:rPr>
      </w:pPr>
    </w:p>
    <w:p w14:paraId="553A42DF" w14:textId="77777777" w:rsidR="00DE00F5" w:rsidRPr="00DE00F5" w:rsidRDefault="00DE00F5" w:rsidP="00DE00F5">
      <w:pPr>
        <w:rPr>
          <w:rFonts w:ascii="Invesco Interstate Light" w:hAnsi="Invesco Interstate Light"/>
          <w:b/>
          <w:bCs/>
          <w:sz w:val="22"/>
          <w:szCs w:val="22"/>
        </w:rPr>
      </w:pPr>
      <w:r w:rsidRPr="00DE00F5">
        <w:rPr>
          <w:rFonts w:ascii="Invesco Interstate Light" w:hAnsi="Invesco Interstate Light"/>
          <w:b/>
          <w:bCs/>
          <w:sz w:val="22"/>
          <w:szCs w:val="22"/>
        </w:rPr>
        <w:lastRenderedPageBreak/>
        <w:t>ECB se dívá na měnící se globální ekonomiku jako na "Návrat do budoucnosti"</w:t>
      </w:r>
    </w:p>
    <w:p w14:paraId="41D53BC5" w14:textId="77777777" w:rsidR="00DE00F5" w:rsidRDefault="00DE00F5" w:rsidP="00DE00F5"/>
    <w:p w14:paraId="2E91AA18" w14:textId="7E48FEE6" w:rsidR="00DE00F5" w:rsidRDefault="00DE00F5" w:rsidP="00DE00F5">
      <w:pPr>
        <w:spacing w:line="276" w:lineRule="auto"/>
        <w:jc w:val="both"/>
        <w:rPr>
          <w:rFonts w:ascii="Invesco Interstate Light" w:eastAsiaTheme="minorEastAsia" w:hAnsi="Invesco Interstate Light"/>
          <w:sz w:val="22"/>
          <w:szCs w:val="22"/>
        </w:rPr>
      </w:pPr>
      <w:r w:rsidRPr="00DE00F5">
        <w:rPr>
          <w:rFonts w:ascii="Invesco Interstate Light" w:eastAsiaTheme="minorEastAsia" w:hAnsi="Invesco Interstate Light"/>
          <w:sz w:val="22"/>
          <w:szCs w:val="22"/>
        </w:rPr>
        <w:t xml:space="preserve">Prezidentka Evropské centrální banky (ECB) Christine </w:t>
      </w:r>
      <w:proofErr w:type="spellStart"/>
      <w:r w:rsidRPr="00DE00F5">
        <w:rPr>
          <w:rFonts w:ascii="Invesco Interstate Light" w:eastAsiaTheme="minorEastAsia" w:hAnsi="Invesco Interstate Light"/>
          <w:sz w:val="22"/>
          <w:szCs w:val="22"/>
        </w:rPr>
        <w:t>Lagardeová</w:t>
      </w:r>
      <w:proofErr w:type="spellEnd"/>
      <w:r w:rsidRPr="00DE00F5">
        <w:rPr>
          <w:rFonts w:ascii="Invesco Interstate Light" w:eastAsiaTheme="minorEastAsia" w:hAnsi="Invesco Interstate Light"/>
          <w:sz w:val="22"/>
          <w:szCs w:val="22"/>
        </w:rPr>
        <w:t xml:space="preserve"> se ve svém projevu zaměřila na téma konference: strukturální změny ve světové ekonomice. Zamýšlela se nad tím, co by mohla přinést budoucnost, a uznala, že ekonomiku nyní ovlivňují tři věci: trh práce, změna klimatu a energetický sektor a geopolitika. (Vliv geopolitiky na budoucnost byl tématem i pro guvernéra Bank </w:t>
      </w:r>
      <w:proofErr w:type="spellStart"/>
      <w:r w:rsidRPr="00DE00F5">
        <w:rPr>
          <w:rFonts w:ascii="Invesco Interstate Light" w:eastAsiaTheme="minorEastAsia" w:hAnsi="Invesco Interstate Light"/>
          <w:sz w:val="22"/>
          <w:szCs w:val="22"/>
        </w:rPr>
        <w:t>of</w:t>
      </w:r>
      <w:proofErr w:type="spellEnd"/>
      <w:r w:rsidRPr="00DE00F5">
        <w:rPr>
          <w:rFonts w:ascii="Invesco Interstate Light" w:eastAsiaTheme="minorEastAsia" w:hAnsi="Invesco Interstate Light"/>
          <w:sz w:val="22"/>
          <w:szCs w:val="22"/>
        </w:rPr>
        <w:t xml:space="preserve"> Japan </w:t>
      </w:r>
      <w:proofErr w:type="spellStart"/>
      <w:r w:rsidRPr="00DE00F5">
        <w:rPr>
          <w:rFonts w:ascii="Invesco Interstate Light" w:eastAsiaTheme="minorEastAsia" w:hAnsi="Invesco Interstate Light"/>
          <w:sz w:val="22"/>
          <w:szCs w:val="22"/>
        </w:rPr>
        <w:t>Kazuo</w:t>
      </w:r>
      <w:proofErr w:type="spellEnd"/>
      <w:r w:rsidRPr="00DE00F5">
        <w:rPr>
          <w:rFonts w:ascii="Invesco Interstate Light" w:eastAsiaTheme="minorEastAsia" w:hAnsi="Invesco Interstate Light"/>
          <w:sz w:val="22"/>
          <w:szCs w:val="22"/>
        </w:rPr>
        <w:t xml:space="preserve"> </w:t>
      </w:r>
      <w:proofErr w:type="spellStart"/>
      <w:r w:rsidRPr="00DE00F5">
        <w:rPr>
          <w:rFonts w:ascii="Invesco Interstate Light" w:eastAsiaTheme="minorEastAsia" w:hAnsi="Invesco Interstate Light"/>
          <w:sz w:val="22"/>
          <w:szCs w:val="22"/>
        </w:rPr>
        <w:t>Uedu</w:t>
      </w:r>
      <w:proofErr w:type="spellEnd"/>
      <w:r w:rsidRPr="00DE00F5">
        <w:rPr>
          <w:rFonts w:ascii="Invesco Interstate Light" w:eastAsiaTheme="minorEastAsia" w:hAnsi="Invesco Interstate Light"/>
          <w:sz w:val="22"/>
          <w:szCs w:val="22"/>
        </w:rPr>
        <w:t xml:space="preserve">, který poznamenal, že </w:t>
      </w:r>
      <w:r w:rsidRPr="00DE00F5">
        <w:rPr>
          <w:rFonts w:ascii="Invesco Interstate Light" w:eastAsiaTheme="minorEastAsia" w:hAnsi="Invesco Interstate Light"/>
          <w:i/>
          <w:iCs/>
          <w:sz w:val="22"/>
          <w:szCs w:val="22"/>
        </w:rPr>
        <w:t>„dlouhodobé dopady geopolitických faktorů na japonskou ekonomiku jsou nepřekvapivě velmi nejisté“</w:t>
      </w:r>
      <w:r w:rsidRPr="00DE00F5">
        <w:rPr>
          <w:rFonts w:ascii="Invesco Interstate Light" w:eastAsiaTheme="minorEastAsia" w:hAnsi="Invesco Interstate Light"/>
          <w:sz w:val="22"/>
          <w:szCs w:val="22"/>
        </w:rPr>
        <w:t>).</w:t>
      </w:r>
    </w:p>
    <w:p w14:paraId="3584FD81" w14:textId="77777777" w:rsidR="00DE00F5" w:rsidRDefault="00DE00F5" w:rsidP="00DE00F5"/>
    <w:p w14:paraId="04E1596B" w14:textId="161F7572" w:rsidR="00DE00F5" w:rsidRPr="00DE00F5" w:rsidRDefault="00DE00F5" w:rsidP="00DE00F5">
      <w:pPr>
        <w:spacing w:line="276" w:lineRule="auto"/>
        <w:jc w:val="both"/>
        <w:rPr>
          <w:rFonts w:ascii="Invesco Interstate Light" w:eastAsiaTheme="minorEastAsia" w:hAnsi="Invesco Interstate Light"/>
          <w:sz w:val="22"/>
          <w:szCs w:val="22"/>
        </w:rPr>
      </w:pPr>
      <w:proofErr w:type="spellStart"/>
      <w:r w:rsidRPr="00DE00F5">
        <w:rPr>
          <w:rFonts w:ascii="Invesco Interstate Light" w:eastAsiaTheme="minorEastAsia" w:hAnsi="Invesco Interstate Light"/>
          <w:sz w:val="22"/>
          <w:szCs w:val="22"/>
        </w:rPr>
        <w:t>Lagardeová</w:t>
      </w:r>
      <w:proofErr w:type="spellEnd"/>
      <w:r w:rsidRPr="00DE00F5">
        <w:rPr>
          <w:rFonts w:ascii="Invesco Interstate Light" w:eastAsiaTheme="minorEastAsia" w:hAnsi="Invesco Interstate Light"/>
          <w:sz w:val="22"/>
          <w:szCs w:val="22"/>
        </w:rPr>
        <w:t xml:space="preserve"> však identifikovala i některé pozitivní trendy. Poznamenala, že pandemie urychlila digitalizaci, která zvýšila možnost pracovat na dálku </w:t>
      </w:r>
      <w:r w:rsidRPr="00310969">
        <w:rPr>
          <w:rFonts w:ascii="Invesco Interstate Light" w:eastAsiaTheme="minorEastAsia" w:hAnsi="Invesco Interstate Light"/>
          <w:sz w:val="22"/>
          <w:szCs w:val="22"/>
        </w:rPr>
        <w:t>–</w:t>
      </w:r>
      <w:r w:rsidRPr="00DE00F5">
        <w:rPr>
          <w:rFonts w:ascii="Invesco Interstate Light" w:eastAsiaTheme="minorEastAsia" w:hAnsi="Invesco Interstate Light"/>
          <w:sz w:val="22"/>
          <w:szCs w:val="22"/>
        </w:rPr>
        <w:t xml:space="preserve"> a to by mělo podpořit pružnější trh práce a pomoci zvýšit účast na trhu práce. Měl by pomoci i rozvoj umělé inteligence. Zabývala se obavami, že umělá inteligence a další technologické inovace způsobí výrazný úbytek pracovních míst. Připustila, že podle výzkumu více než čtvrtině pracovních míst ve vyspělých ekonomikách hrozí zrušení, protože jsou závislé na dovednostech, které by mohly být snadno "automatizovány" pomocí umělé inteligence. Poukázala však na výzkum ECB, který zjistil, že zaměstnanost v pr</w:t>
      </w:r>
      <w:r>
        <w:rPr>
          <w:rFonts w:ascii="Invesco Interstate Light" w:eastAsiaTheme="minorEastAsia" w:hAnsi="Invesco Interstate Light"/>
          <w:sz w:val="22"/>
          <w:szCs w:val="22"/>
        </w:rPr>
        <w:t>a</w:t>
      </w:r>
      <w:r w:rsidRPr="00DE00F5">
        <w:rPr>
          <w:rFonts w:ascii="Invesco Interstate Light" w:eastAsiaTheme="minorEastAsia" w:hAnsi="Invesco Interstate Light"/>
          <w:sz w:val="22"/>
          <w:szCs w:val="22"/>
        </w:rPr>
        <w:t>cích více vystavených umělé inteligenci v posledních deseti letech ve většině evropských zemí vzrostla, což vyvrací myšlenku, že revoluce v oblasti umělé inteligence nutně povede k poklesu zaměstnanosti.</w:t>
      </w:r>
    </w:p>
    <w:p w14:paraId="5C104395" w14:textId="77777777" w:rsidR="00DE00F5" w:rsidRDefault="00DE00F5" w:rsidP="00DE00F5"/>
    <w:p w14:paraId="468D0D8B" w14:textId="0E36816F" w:rsidR="00DE00F5" w:rsidRDefault="00DE00F5" w:rsidP="00DE00F5">
      <w:pPr>
        <w:spacing w:line="276" w:lineRule="auto"/>
        <w:jc w:val="both"/>
        <w:rPr>
          <w:rFonts w:ascii="Invesco Interstate Light" w:eastAsiaTheme="minorEastAsia" w:hAnsi="Invesco Interstate Light"/>
          <w:i/>
          <w:iCs/>
          <w:sz w:val="22"/>
          <w:szCs w:val="22"/>
        </w:rPr>
      </w:pPr>
      <w:proofErr w:type="spellStart"/>
      <w:r w:rsidRPr="00DE00F5">
        <w:rPr>
          <w:rFonts w:ascii="Invesco Interstate Light" w:eastAsiaTheme="minorEastAsia" w:hAnsi="Invesco Interstate Light"/>
          <w:sz w:val="22"/>
          <w:szCs w:val="22"/>
        </w:rPr>
        <w:t>Lagardeová</w:t>
      </w:r>
      <w:proofErr w:type="spellEnd"/>
      <w:r w:rsidRPr="00DE00F5">
        <w:rPr>
          <w:rFonts w:ascii="Invesco Interstate Light" w:eastAsiaTheme="minorEastAsia" w:hAnsi="Invesco Interstate Light"/>
          <w:sz w:val="22"/>
          <w:szCs w:val="22"/>
        </w:rPr>
        <w:t xml:space="preserve"> se také zaměřila na tři klíčové zásady pro budoucí tvorbu měnové politiky: jasnost, flexibilitu a pokoru. Důraz na pokoru, zejména pokud jde o prognózování, byl z mého pohledu obzvláště vhodný a synchronizovaný se snahou Bank </w:t>
      </w:r>
      <w:proofErr w:type="spellStart"/>
      <w:r w:rsidRPr="00DE00F5">
        <w:rPr>
          <w:rFonts w:ascii="Invesco Interstate Light" w:eastAsiaTheme="minorEastAsia" w:hAnsi="Invesco Interstate Light"/>
          <w:sz w:val="22"/>
          <w:szCs w:val="22"/>
        </w:rPr>
        <w:t>of</w:t>
      </w:r>
      <w:proofErr w:type="spellEnd"/>
      <w:r w:rsidRPr="00DE00F5">
        <w:rPr>
          <w:rFonts w:ascii="Invesco Interstate Light" w:eastAsiaTheme="minorEastAsia" w:hAnsi="Invesco Interstate Light"/>
          <w:sz w:val="22"/>
          <w:szCs w:val="22"/>
        </w:rPr>
        <w:t xml:space="preserve"> </w:t>
      </w:r>
      <w:proofErr w:type="spellStart"/>
      <w:r w:rsidRPr="00DE00F5">
        <w:rPr>
          <w:rFonts w:ascii="Invesco Interstate Light" w:eastAsiaTheme="minorEastAsia" w:hAnsi="Invesco Interstate Light"/>
          <w:sz w:val="22"/>
          <w:szCs w:val="22"/>
        </w:rPr>
        <w:t>England</w:t>
      </w:r>
      <w:proofErr w:type="spellEnd"/>
      <w:r w:rsidRPr="00DE00F5">
        <w:rPr>
          <w:rFonts w:ascii="Invesco Interstate Light" w:eastAsiaTheme="minorEastAsia" w:hAnsi="Invesco Interstate Light"/>
          <w:sz w:val="22"/>
          <w:szCs w:val="22"/>
        </w:rPr>
        <w:t xml:space="preserve"> zlepšit své prognózování. Jak </w:t>
      </w:r>
      <w:proofErr w:type="spellStart"/>
      <w:r w:rsidRPr="00DE00F5">
        <w:rPr>
          <w:rFonts w:ascii="Invesco Interstate Light" w:eastAsiaTheme="minorEastAsia" w:hAnsi="Invesco Interstate Light"/>
          <w:sz w:val="22"/>
          <w:szCs w:val="22"/>
        </w:rPr>
        <w:t>Lagardeová</w:t>
      </w:r>
      <w:proofErr w:type="spellEnd"/>
      <w:r w:rsidRPr="00DE00F5">
        <w:rPr>
          <w:rFonts w:ascii="Invesco Interstate Light" w:eastAsiaTheme="minorEastAsia" w:hAnsi="Invesco Interstate Light"/>
          <w:sz w:val="22"/>
          <w:szCs w:val="22"/>
        </w:rPr>
        <w:t xml:space="preserve"> vysvětlila</w:t>
      </w:r>
      <w:r w:rsidRPr="00DE00F5">
        <w:rPr>
          <w:rFonts w:ascii="Invesco Interstate Light" w:eastAsiaTheme="minorEastAsia" w:hAnsi="Invesco Interstate Light"/>
          <w:i/>
          <w:iCs/>
          <w:sz w:val="22"/>
          <w:szCs w:val="22"/>
        </w:rPr>
        <w:t>: „V nejisté ekonomice nemůžeme dělat politiku založenou na jednoduchých pravidlech nebo střednědobých cílech... A to znamená, že se nemůžeme spoléhat výhradně na modely, které jsou odhadovány na základě starých dat, a pokoušet se vyladit politiku podle bodových prognóz. Zároveň se musíme vyvarovat i dalšího úskalí, kterým je přílišné zaměření se na aktuální data a 'zpětném řízení', protože to pravděpodobně způsobí, že měnová politika bude spíše reaktivní než stabilizační silou. "</w:t>
      </w:r>
    </w:p>
    <w:p w14:paraId="5A27445E" w14:textId="77777777" w:rsidR="00DE00F5" w:rsidRDefault="00DE00F5" w:rsidP="00DE00F5">
      <w:pPr>
        <w:spacing w:line="276" w:lineRule="auto"/>
        <w:jc w:val="both"/>
        <w:rPr>
          <w:rFonts w:ascii="Invesco Interstate Light" w:eastAsiaTheme="minorEastAsia" w:hAnsi="Invesco Interstate Light"/>
          <w:i/>
          <w:iCs/>
          <w:sz w:val="22"/>
          <w:szCs w:val="22"/>
        </w:rPr>
      </w:pPr>
    </w:p>
    <w:p w14:paraId="4647099A" w14:textId="6A4B3E0B" w:rsidR="00DE00F5" w:rsidRPr="00DE00F5" w:rsidRDefault="00DE00F5" w:rsidP="00DE00F5">
      <w:pPr>
        <w:spacing w:line="276" w:lineRule="auto"/>
        <w:jc w:val="both"/>
        <w:rPr>
          <w:rFonts w:ascii="Invesco Interstate Light" w:eastAsiaTheme="minorEastAsia" w:hAnsi="Invesco Interstate Light"/>
          <w:sz w:val="22"/>
          <w:szCs w:val="22"/>
        </w:rPr>
      </w:pPr>
      <w:r w:rsidRPr="00DE00F5">
        <w:rPr>
          <w:rFonts w:ascii="Invesco Interstate Light" w:eastAsiaTheme="minorEastAsia" w:hAnsi="Invesco Interstate Light"/>
          <w:sz w:val="22"/>
          <w:szCs w:val="22"/>
        </w:rPr>
        <w:t>Za dobré považuji, že poukázala na výzkum, který naznačuje, že domácnosti méně důvěřují prognózám centrálních bank, pokud byly jejich nedávné prognózy špatné. Nabídla dvě možná řešení: mluvit o prognózách více podmíněně a lépe vysvětlovat chyby. Zdůraznila, že pracovníci ECB začali zveřejňovat hlavní faktory, které stojí za případnými chybami v prognóze inflace ECB</w:t>
      </w:r>
      <w:r>
        <w:rPr>
          <w:rFonts w:ascii="Invesco Interstate Light" w:eastAsiaTheme="minorEastAsia" w:hAnsi="Invesco Interstate Light"/>
          <w:sz w:val="22"/>
          <w:szCs w:val="22"/>
        </w:rPr>
        <w:t xml:space="preserve"> </w:t>
      </w:r>
      <w:r w:rsidRPr="00310969">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w:t>
      </w:r>
      <w:r w:rsidRPr="00DE00F5">
        <w:rPr>
          <w:rFonts w:ascii="Invesco Interstate Light" w:eastAsiaTheme="minorEastAsia" w:hAnsi="Invesco Interstate Light"/>
          <w:sz w:val="22"/>
          <w:szCs w:val="22"/>
        </w:rPr>
        <w:t>a budou v tom pokračovat.</w:t>
      </w:r>
    </w:p>
    <w:p w14:paraId="586C1AA5" w14:textId="77777777" w:rsidR="00DE00F5" w:rsidRDefault="00DE00F5" w:rsidP="00DE00F5">
      <w:pPr>
        <w:spacing w:line="276" w:lineRule="auto"/>
        <w:jc w:val="both"/>
        <w:rPr>
          <w:rFonts w:ascii="Invesco Interstate Light" w:eastAsiaTheme="minorEastAsia" w:hAnsi="Invesco Interstate Light"/>
          <w:sz w:val="22"/>
          <w:szCs w:val="22"/>
        </w:rPr>
      </w:pPr>
    </w:p>
    <w:p w14:paraId="07968F85" w14:textId="3FD460EE" w:rsidR="00DE00F5" w:rsidRPr="00DE00F5" w:rsidRDefault="00DE00F5" w:rsidP="00DE00F5">
      <w:pPr>
        <w:spacing w:line="276" w:lineRule="auto"/>
        <w:jc w:val="both"/>
        <w:rPr>
          <w:rFonts w:ascii="Invesco Interstate Light" w:eastAsiaTheme="minorEastAsia" w:hAnsi="Invesco Interstate Light"/>
          <w:sz w:val="22"/>
          <w:szCs w:val="22"/>
        </w:rPr>
      </w:pPr>
      <w:r w:rsidRPr="00DE00F5">
        <w:rPr>
          <w:rFonts w:ascii="Invesco Interstate Light" w:eastAsiaTheme="minorEastAsia" w:hAnsi="Invesco Interstate Light"/>
          <w:sz w:val="22"/>
          <w:szCs w:val="22"/>
        </w:rPr>
        <w:t xml:space="preserve">Řada řečníků se také obávala, že některé strukturální změny, jako jsou obchodní bariéry a změny dodavatelských řetězců vyvolané průmyslovou politikou, by mohly vést k vyšší inflaci, což by následně mohlo vést k dlouhodobějšímu zvyšování sazeb. </w:t>
      </w:r>
      <w:proofErr w:type="spellStart"/>
      <w:r w:rsidRPr="00DE00F5">
        <w:rPr>
          <w:rFonts w:ascii="Invesco Interstate Light" w:eastAsiaTheme="minorEastAsia" w:hAnsi="Invesco Interstate Light"/>
          <w:sz w:val="22"/>
          <w:szCs w:val="22"/>
        </w:rPr>
        <w:t>Lagardeová</w:t>
      </w:r>
      <w:proofErr w:type="spellEnd"/>
      <w:r w:rsidRPr="00DE00F5">
        <w:rPr>
          <w:rFonts w:ascii="Invesco Interstate Light" w:eastAsiaTheme="minorEastAsia" w:hAnsi="Invesco Interstate Light"/>
          <w:sz w:val="22"/>
          <w:szCs w:val="22"/>
        </w:rPr>
        <w:t xml:space="preserve"> uvedla, že „nové prostředí vytváří podmínky pro větší relativní cenové šoky, než jaké jsme viděli před pandemií“. Viceguvernér Bank </w:t>
      </w:r>
      <w:proofErr w:type="spellStart"/>
      <w:r w:rsidRPr="00DE00F5">
        <w:rPr>
          <w:rFonts w:ascii="Invesco Interstate Light" w:eastAsiaTheme="minorEastAsia" w:hAnsi="Invesco Interstate Light"/>
          <w:sz w:val="22"/>
          <w:szCs w:val="22"/>
        </w:rPr>
        <w:t>of</w:t>
      </w:r>
      <w:proofErr w:type="spellEnd"/>
      <w:r w:rsidRPr="00DE00F5">
        <w:rPr>
          <w:rFonts w:ascii="Invesco Interstate Light" w:eastAsiaTheme="minorEastAsia" w:hAnsi="Invesco Interstate Light"/>
          <w:sz w:val="22"/>
          <w:szCs w:val="22"/>
        </w:rPr>
        <w:t xml:space="preserve"> </w:t>
      </w:r>
      <w:proofErr w:type="spellStart"/>
      <w:r w:rsidRPr="00DE00F5">
        <w:rPr>
          <w:rFonts w:ascii="Invesco Interstate Light" w:eastAsiaTheme="minorEastAsia" w:hAnsi="Invesco Interstate Light"/>
          <w:sz w:val="22"/>
          <w:szCs w:val="22"/>
        </w:rPr>
        <w:t>England</w:t>
      </w:r>
      <w:proofErr w:type="spellEnd"/>
      <w:r w:rsidRPr="00DE00F5">
        <w:rPr>
          <w:rFonts w:ascii="Invesco Interstate Light" w:eastAsiaTheme="minorEastAsia" w:hAnsi="Invesco Interstate Light"/>
          <w:sz w:val="22"/>
          <w:szCs w:val="22"/>
        </w:rPr>
        <w:t xml:space="preserve"> Ben </w:t>
      </w:r>
      <w:proofErr w:type="spellStart"/>
      <w:r w:rsidRPr="00DE00F5">
        <w:rPr>
          <w:rFonts w:ascii="Invesco Interstate Light" w:eastAsiaTheme="minorEastAsia" w:hAnsi="Invesco Interstate Light"/>
          <w:sz w:val="22"/>
          <w:szCs w:val="22"/>
        </w:rPr>
        <w:t>Broadbent</w:t>
      </w:r>
      <w:proofErr w:type="spellEnd"/>
      <w:r w:rsidRPr="00DE00F5">
        <w:rPr>
          <w:rFonts w:ascii="Invesco Interstate Light" w:eastAsiaTheme="minorEastAsia" w:hAnsi="Invesco Interstate Light"/>
          <w:sz w:val="22"/>
          <w:szCs w:val="22"/>
        </w:rPr>
        <w:t xml:space="preserve"> hovořil o příčinách vysoké úrovně inflace ve Velké Británii a konkrétně se obával o budoucí růst mezd. Dospěl k závěru, že měnová politika „pravděpodobně bude muset zůstat v restriktivním pásmu " ještě nějakou dobu. Jinými slovy </w:t>
      </w:r>
      <w:r w:rsidRPr="00310969">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w:t>
      </w:r>
      <w:r w:rsidRPr="00DE00F5">
        <w:rPr>
          <w:rFonts w:ascii="Invesco Interstate Light" w:eastAsiaTheme="minorEastAsia" w:hAnsi="Invesco Interstate Light"/>
          <w:sz w:val="22"/>
          <w:szCs w:val="22"/>
        </w:rPr>
        <w:t>vyšší po delší dobu.</w:t>
      </w:r>
    </w:p>
    <w:p w14:paraId="3157925C" w14:textId="77777777" w:rsidR="00DE00F5" w:rsidRPr="00DE00F5" w:rsidRDefault="00DE00F5" w:rsidP="00DE00F5">
      <w:pPr>
        <w:spacing w:line="276" w:lineRule="auto"/>
        <w:jc w:val="both"/>
        <w:rPr>
          <w:rFonts w:ascii="Invesco Interstate Light" w:eastAsiaTheme="minorEastAsia" w:hAnsi="Invesco Interstate Light"/>
          <w:sz w:val="22"/>
          <w:szCs w:val="22"/>
        </w:rPr>
      </w:pPr>
    </w:p>
    <w:p w14:paraId="12DDCB48" w14:textId="77777777" w:rsidR="00DE00F5" w:rsidRPr="00DE00F5" w:rsidRDefault="00DE00F5" w:rsidP="00DE00F5">
      <w:pPr>
        <w:rPr>
          <w:rFonts w:ascii="Invesco Interstate Light" w:eastAsiaTheme="minorEastAsia" w:hAnsi="Invesco Interstate Light"/>
          <w:sz w:val="22"/>
          <w:szCs w:val="22"/>
        </w:rPr>
      </w:pPr>
    </w:p>
    <w:p w14:paraId="04E8D457" w14:textId="77777777" w:rsidR="00DE00F5" w:rsidRDefault="00DE00F5" w:rsidP="00DE00F5">
      <w:pPr>
        <w:rPr>
          <w:rFonts w:ascii="Invesco Interstate Light" w:hAnsi="Invesco Interstate Light"/>
          <w:b/>
          <w:bCs/>
          <w:sz w:val="22"/>
          <w:szCs w:val="22"/>
        </w:rPr>
      </w:pPr>
    </w:p>
    <w:p w14:paraId="356116F2" w14:textId="6B7F122A" w:rsidR="00DE00F5" w:rsidRPr="00DE00F5" w:rsidRDefault="00DE00F5" w:rsidP="00DE00F5">
      <w:pPr>
        <w:rPr>
          <w:rFonts w:ascii="Invesco Interstate Light" w:hAnsi="Invesco Interstate Light"/>
          <w:b/>
          <w:bCs/>
          <w:sz w:val="22"/>
          <w:szCs w:val="22"/>
        </w:rPr>
      </w:pPr>
      <w:r w:rsidRPr="00DE00F5">
        <w:rPr>
          <w:rFonts w:ascii="Invesco Interstate Light" w:hAnsi="Invesco Interstate Light"/>
          <w:b/>
          <w:bCs/>
          <w:sz w:val="22"/>
          <w:szCs w:val="22"/>
        </w:rPr>
        <w:lastRenderedPageBreak/>
        <w:t>Rozhovory na „červeném koberci“ odhalují náznaky toho, co může přijít</w:t>
      </w:r>
    </w:p>
    <w:p w14:paraId="4A985E5D" w14:textId="77777777" w:rsidR="00DE00F5" w:rsidRDefault="00DE00F5" w:rsidP="00DE00F5"/>
    <w:p w14:paraId="3126102A" w14:textId="5AB771DF" w:rsidR="00DE00F5" w:rsidRPr="00DE00F5" w:rsidRDefault="00DE00F5" w:rsidP="00DE00F5">
      <w:pPr>
        <w:spacing w:line="276" w:lineRule="auto"/>
        <w:jc w:val="both"/>
        <w:rPr>
          <w:rFonts w:ascii="Invesco Interstate Light" w:eastAsiaTheme="minorEastAsia" w:hAnsi="Invesco Interstate Light"/>
          <w:sz w:val="22"/>
          <w:szCs w:val="22"/>
        </w:rPr>
      </w:pPr>
      <w:r w:rsidRPr="00DE00F5">
        <w:rPr>
          <w:rFonts w:ascii="Invesco Interstate Light" w:eastAsiaTheme="minorEastAsia" w:hAnsi="Invesco Interstate Light"/>
          <w:sz w:val="22"/>
          <w:szCs w:val="22"/>
        </w:rPr>
        <w:t xml:space="preserve">Žádný červený koberec se při udílení cen neobejde bez spousty rozhovorů, a to platí i pro Jackson Hole. Jeden mě obzvlášť zaujal: Prezidentka clevelandského </w:t>
      </w:r>
      <w:proofErr w:type="spellStart"/>
      <w:r w:rsidRPr="00DE00F5">
        <w:rPr>
          <w:rFonts w:ascii="Invesco Interstate Light" w:eastAsiaTheme="minorEastAsia" w:hAnsi="Invesco Interstate Light"/>
          <w:sz w:val="22"/>
          <w:szCs w:val="22"/>
        </w:rPr>
        <w:t>Fedu</w:t>
      </w:r>
      <w:proofErr w:type="spellEnd"/>
      <w:r w:rsidRPr="00DE00F5">
        <w:rPr>
          <w:rFonts w:ascii="Invesco Interstate Light" w:eastAsiaTheme="minorEastAsia" w:hAnsi="Invesco Interstate Light"/>
          <w:sz w:val="22"/>
          <w:szCs w:val="22"/>
        </w:rPr>
        <w:t xml:space="preserve"> </w:t>
      </w:r>
      <w:proofErr w:type="spellStart"/>
      <w:r w:rsidRPr="00DE00F5">
        <w:rPr>
          <w:rFonts w:ascii="Invesco Interstate Light" w:eastAsiaTheme="minorEastAsia" w:hAnsi="Invesco Interstate Light"/>
          <w:sz w:val="22"/>
          <w:szCs w:val="22"/>
        </w:rPr>
        <w:t>Loretta</w:t>
      </w:r>
      <w:proofErr w:type="spellEnd"/>
      <w:r w:rsidRPr="00DE00F5">
        <w:rPr>
          <w:rFonts w:ascii="Invesco Interstate Light" w:eastAsiaTheme="minorEastAsia" w:hAnsi="Invesco Interstate Light"/>
          <w:sz w:val="22"/>
          <w:szCs w:val="22"/>
        </w:rPr>
        <w:t xml:space="preserve"> </w:t>
      </w:r>
      <w:proofErr w:type="spellStart"/>
      <w:r w:rsidRPr="00DE00F5">
        <w:rPr>
          <w:rFonts w:ascii="Invesco Interstate Light" w:eastAsiaTheme="minorEastAsia" w:hAnsi="Invesco Interstate Light"/>
          <w:sz w:val="22"/>
          <w:szCs w:val="22"/>
        </w:rPr>
        <w:t>Mesterová</w:t>
      </w:r>
      <w:proofErr w:type="spellEnd"/>
      <w:r w:rsidRPr="00DE00F5">
        <w:rPr>
          <w:rFonts w:ascii="Invesco Interstate Light" w:eastAsiaTheme="minorEastAsia" w:hAnsi="Invesco Interstate Light"/>
          <w:sz w:val="22"/>
          <w:szCs w:val="22"/>
        </w:rPr>
        <w:t xml:space="preserve"> se svěřila: </w:t>
      </w:r>
      <w:r w:rsidRPr="00DE00F5">
        <w:rPr>
          <w:rFonts w:ascii="Invesco Interstate Light" w:eastAsiaTheme="minorEastAsia" w:hAnsi="Invesco Interstate Light"/>
          <w:i/>
          <w:iCs/>
          <w:sz w:val="22"/>
          <w:szCs w:val="22"/>
        </w:rPr>
        <w:t xml:space="preserve">„Mám základní předpoklad měkkého přistání... ", </w:t>
      </w:r>
      <w:r w:rsidRPr="00DE00F5">
        <w:rPr>
          <w:rFonts w:ascii="Invesco Interstate Light" w:eastAsiaTheme="minorEastAsia" w:hAnsi="Invesco Interstate Light"/>
          <w:sz w:val="22"/>
          <w:szCs w:val="22"/>
        </w:rPr>
        <w:t xml:space="preserve">což zřejmě podporuje názor, že nedostatečné utahování </w:t>
      </w:r>
      <w:proofErr w:type="spellStart"/>
      <w:r w:rsidRPr="00DE00F5">
        <w:rPr>
          <w:rFonts w:ascii="Invesco Interstate Light" w:eastAsiaTheme="minorEastAsia" w:hAnsi="Invesco Interstate Light"/>
          <w:sz w:val="22"/>
          <w:szCs w:val="22"/>
        </w:rPr>
        <w:t>Fedu</w:t>
      </w:r>
      <w:proofErr w:type="spellEnd"/>
      <w:r w:rsidRPr="00DE00F5">
        <w:rPr>
          <w:rFonts w:ascii="Invesco Interstate Light" w:eastAsiaTheme="minorEastAsia" w:hAnsi="Invesco Interstate Light"/>
          <w:sz w:val="22"/>
          <w:szCs w:val="22"/>
        </w:rPr>
        <w:t xml:space="preserve"> by bylo horší než přílišné utahování. Domnívám se, že je to omyl; rozhodně se nejedná o "La Dolce Vita". Podle mého názoru přibývá důkazů, že USA by mohlo čekat spíše hrbolaté než měkké přistání.</w:t>
      </w:r>
    </w:p>
    <w:p w14:paraId="76D08F97" w14:textId="77777777" w:rsidR="00DE00F5" w:rsidRDefault="00DE00F5" w:rsidP="00DE00F5"/>
    <w:p w14:paraId="0569386D" w14:textId="24A3FDA7" w:rsidR="00DE00F5" w:rsidRDefault="00DE00F5" w:rsidP="00EE40E9">
      <w:pPr>
        <w:spacing w:line="276" w:lineRule="auto"/>
        <w:jc w:val="both"/>
        <w:rPr>
          <w:rFonts w:ascii="Invesco Interstate Light" w:eastAsiaTheme="minorEastAsia" w:hAnsi="Invesco Interstate Light"/>
          <w:sz w:val="22"/>
          <w:szCs w:val="22"/>
        </w:rPr>
      </w:pPr>
      <w:r w:rsidRPr="00DE00F5">
        <w:rPr>
          <w:rFonts w:ascii="Invesco Interstate Light" w:eastAsiaTheme="minorEastAsia" w:hAnsi="Invesco Interstate Light"/>
          <w:sz w:val="22"/>
          <w:szCs w:val="22"/>
        </w:rPr>
        <w:t>Mezi tyto důkazy patří např: index nákupních manažerů ve zpracovatelském průmyslu v USA se propadl dále do oblasti kontrakce, když v červenci činil 47 oproti 49. Ještě větší obavy vzbuzuje index PMI ve službách, v USA, který byl zveřejněn minulý týden. Ačkoli se srpnová data stále nacházejí v oblasti expanze na úrovni 50,4, jsou výrazně pod červencovou hodnotou 52,3 a na šestiměsíčním minimu, přičemž nové zakázky poprvé od února klesly.</w:t>
      </w:r>
      <w:r w:rsidR="00EE40E9">
        <w:rPr>
          <w:rFonts w:ascii="Invesco Interstate Light" w:eastAsiaTheme="minorEastAsia" w:hAnsi="Invesco Interstate Light"/>
          <w:sz w:val="22"/>
          <w:szCs w:val="22"/>
        </w:rPr>
        <w:t xml:space="preserve"> </w:t>
      </w:r>
      <w:r w:rsidRPr="00DE00F5">
        <w:rPr>
          <w:rFonts w:ascii="Invesco Interstate Light" w:eastAsiaTheme="minorEastAsia" w:hAnsi="Invesco Interstate Light"/>
          <w:sz w:val="22"/>
          <w:szCs w:val="22"/>
        </w:rPr>
        <w:t xml:space="preserve">Domnívám se, že v tuto chvíli je pro Fed větším rizikem přílišné utahování než nedostatečné utahování, zejména vzhledem k tolika nejistotám. </w:t>
      </w:r>
    </w:p>
    <w:p w14:paraId="060A3D4D" w14:textId="77777777" w:rsidR="00DE00F5" w:rsidRDefault="00DE00F5" w:rsidP="00DE00F5">
      <w:pPr>
        <w:spacing w:line="276" w:lineRule="auto"/>
        <w:rPr>
          <w:rFonts w:ascii="Invesco Interstate Light" w:eastAsiaTheme="minorEastAsia" w:hAnsi="Invesco Interstate Light"/>
          <w:sz w:val="22"/>
          <w:szCs w:val="22"/>
        </w:rPr>
      </w:pPr>
    </w:p>
    <w:p w14:paraId="405FE2F1" w14:textId="77777777" w:rsidR="00DE00F5" w:rsidRPr="00DE00F5" w:rsidRDefault="00DE00F5" w:rsidP="00DE00F5">
      <w:pPr>
        <w:spacing w:line="276" w:lineRule="auto"/>
        <w:jc w:val="both"/>
        <w:rPr>
          <w:rFonts w:ascii="Invesco Interstate Light" w:eastAsiaTheme="minorEastAsia" w:hAnsi="Invesco Interstate Light"/>
          <w:sz w:val="22"/>
          <w:szCs w:val="22"/>
        </w:rPr>
      </w:pPr>
      <w:r w:rsidRPr="00DE00F5">
        <w:rPr>
          <w:rFonts w:ascii="Invesco Interstate Light" w:eastAsiaTheme="minorEastAsia" w:hAnsi="Invesco Interstate Light"/>
          <w:sz w:val="22"/>
          <w:szCs w:val="22"/>
        </w:rPr>
        <w:t xml:space="preserve">Nejedná se o problém specifický pouze pro USA. S podobnými problémy se potýkají i další vyspělé ekonomiky. První data z průzkumu PMI za srpen od společnosti S&amp;P </w:t>
      </w:r>
      <w:proofErr w:type="spellStart"/>
      <w:r w:rsidRPr="00DE00F5">
        <w:rPr>
          <w:rFonts w:ascii="Invesco Interstate Light" w:eastAsiaTheme="minorEastAsia" w:hAnsi="Invesco Interstate Light"/>
          <w:sz w:val="22"/>
          <w:szCs w:val="22"/>
        </w:rPr>
        <w:t>Global</w:t>
      </w:r>
      <w:proofErr w:type="spellEnd"/>
      <w:r w:rsidRPr="00DE00F5">
        <w:rPr>
          <w:rFonts w:ascii="Invesco Interstate Light" w:eastAsiaTheme="minorEastAsia" w:hAnsi="Invesco Interstate Light"/>
          <w:sz w:val="22"/>
          <w:szCs w:val="22"/>
        </w:rPr>
        <w:t xml:space="preserve"> ukázaly, že v eurozóně a ve Spojeném království dochází k poklesu podnikatelské aktivity. To je však v kontrastu s působivými bleskovými daty PMI pro Japonsko, kde PMI ve službách dosáhl velmi solidní hodnoty 54,3. To připomíná negativní dopad přísnější měnové politiky mezi západními vyspělými ekonomikami – a její zpožděné účinky. Doufejme, že to povzbudí centrální bankéře, aby "udělali správnou věc" a ukončili příslušné cykly zvyšování sazeb.</w:t>
      </w:r>
    </w:p>
    <w:p w14:paraId="5ED8DB3F" w14:textId="77777777" w:rsidR="00DE00F5" w:rsidRPr="00DE00F5" w:rsidRDefault="00DE00F5" w:rsidP="00DE00F5">
      <w:pPr>
        <w:spacing w:line="276" w:lineRule="auto"/>
        <w:rPr>
          <w:rFonts w:ascii="Invesco Interstate Light" w:eastAsiaTheme="minorEastAsia" w:hAnsi="Invesco Interstate Light"/>
          <w:sz w:val="22"/>
          <w:szCs w:val="22"/>
        </w:rPr>
      </w:pPr>
    </w:p>
    <w:p w14:paraId="6B480B14" w14:textId="61D04B50" w:rsidR="00243188" w:rsidRDefault="00DE00F5" w:rsidP="00243188">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Z dalších zpráv:</w:t>
      </w:r>
    </w:p>
    <w:p w14:paraId="17B1F30F" w14:textId="77777777" w:rsidR="00DE00F5" w:rsidRDefault="00DE00F5" w:rsidP="00DE00F5"/>
    <w:p w14:paraId="217C8086" w14:textId="78A8506E" w:rsidR="00A83F9A" w:rsidRPr="00A83F9A" w:rsidRDefault="00DE00F5" w:rsidP="00DE00F5">
      <w:pPr>
        <w:spacing w:line="276" w:lineRule="auto"/>
        <w:jc w:val="both"/>
        <w:rPr>
          <w:rFonts w:ascii="Invesco Interstate Light" w:eastAsiaTheme="minorEastAsia" w:hAnsi="Invesco Interstate Light"/>
          <w:sz w:val="22"/>
          <w:szCs w:val="22"/>
        </w:rPr>
      </w:pPr>
      <w:r w:rsidRPr="00DE00F5">
        <w:rPr>
          <w:rFonts w:ascii="Invesco Interstate Light" w:eastAsiaTheme="minorEastAsia" w:hAnsi="Invesco Interstate Light"/>
          <w:sz w:val="22"/>
          <w:szCs w:val="22"/>
        </w:rPr>
        <w:t>Byla bych nedbalá, kdybych nezmínila důležité oznámení, které minulý týden přišlo z Číny – že sníží kolkovné, což je daň z transakcí s cennými papíry. Akcie v Číně a Hongkongu na tuto zprávu reagovaly pozitivně, což není překvapivé. Ve vzácných případech, kdy se tak v minulých desetiletích stalo, to vedlo k růstu cen akcií. Jak jsem již uvedla, vzhledem k negativnímu sentimentu kolem čínských akcií by jakákoli politická podpora mohla mít na ceny akcií pozitivní dopad. Doufám, že to bude „počátek“ dalších politických kroků na podporu čínské ekonomiky a trhů.</w:t>
      </w:r>
    </w:p>
    <w:p w14:paraId="547CA4BC" w14:textId="77777777" w:rsidR="00A83F9A" w:rsidRDefault="00A83F9A" w:rsidP="00A83F9A">
      <w:pPr>
        <w:spacing w:before="100" w:beforeAutospacing="1" w:after="100" w:afterAutospacing="1" w:line="276" w:lineRule="auto"/>
        <w:jc w:val="both"/>
        <w:rPr>
          <w:rFonts w:ascii="Invesco Interstate Light" w:eastAsiaTheme="minorEastAsia" w:hAnsi="Invesco Interstate Light"/>
          <w:sz w:val="22"/>
          <w:szCs w:val="22"/>
        </w:rPr>
      </w:pPr>
    </w:p>
    <w:p w14:paraId="3CEB7852" w14:textId="77777777" w:rsidR="00DE00F5" w:rsidRDefault="00DE00F5" w:rsidP="00A83F9A">
      <w:pPr>
        <w:spacing w:before="100" w:beforeAutospacing="1" w:after="100" w:afterAutospacing="1" w:line="276" w:lineRule="auto"/>
        <w:jc w:val="both"/>
        <w:rPr>
          <w:rFonts w:ascii="Invesco Interstate Light" w:eastAsiaTheme="minorEastAsia" w:hAnsi="Invesco Interstate Light"/>
          <w:sz w:val="22"/>
          <w:szCs w:val="22"/>
        </w:rPr>
      </w:pPr>
    </w:p>
    <w:p w14:paraId="6148744C" w14:textId="77777777" w:rsidR="00DE00F5" w:rsidRDefault="00DE00F5" w:rsidP="00A83F9A">
      <w:pPr>
        <w:spacing w:before="100" w:beforeAutospacing="1" w:after="100" w:afterAutospacing="1" w:line="276" w:lineRule="auto"/>
        <w:jc w:val="both"/>
        <w:rPr>
          <w:rFonts w:ascii="Invesco Interstate Light" w:eastAsiaTheme="minorEastAsia" w:hAnsi="Invesco Interstate Light"/>
          <w:sz w:val="22"/>
          <w:szCs w:val="22"/>
        </w:rPr>
      </w:pPr>
    </w:p>
    <w:p w14:paraId="30823109" w14:textId="77777777" w:rsidR="00A8518C" w:rsidRDefault="00A8518C" w:rsidP="00A83F9A">
      <w:pPr>
        <w:spacing w:before="100" w:beforeAutospacing="1" w:after="100" w:afterAutospacing="1" w:line="276" w:lineRule="auto"/>
        <w:jc w:val="both"/>
        <w:rPr>
          <w:rFonts w:ascii="Invesco Interstate Light" w:eastAsiaTheme="minorEastAsia" w:hAnsi="Invesco Interstate Light"/>
          <w:sz w:val="22"/>
          <w:szCs w:val="22"/>
        </w:rPr>
      </w:pPr>
    </w:p>
    <w:p w14:paraId="7C9A4FBB" w14:textId="77777777" w:rsidR="00DE00F5" w:rsidRPr="00A83F9A" w:rsidRDefault="00DE00F5" w:rsidP="00A83F9A">
      <w:pPr>
        <w:spacing w:before="100" w:beforeAutospacing="1" w:after="100" w:afterAutospacing="1" w:line="276" w:lineRule="auto"/>
        <w:jc w:val="both"/>
        <w:rPr>
          <w:rFonts w:ascii="Invesco Interstate Light" w:eastAsiaTheme="minorEastAsia" w:hAnsi="Invesco Interstate Light"/>
          <w:sz w:val="22"/>
          <w:szCs w:val="22"/>
        </w:rPr>
      </w:pPr>
    </w:p>
    <w:p w14:paraId="0F500F2A" w14:textId="77777777" w:rsidR="00243188" w:rsidRDefault="00243188" w:rsidP="00243188">
      <w:pPr>
        <w:autoSpaceDE w:val="0"/>
        <w:autoSpaceDN w:val="0"/>
        <w:adjustRightInd w:val="0"/>
        <w:spacing w:line="240" w:lineRule="auto"/>
        <w:rPr>
          <w:rFonts w:ascii="Invesco Interstate Light" w:hAnsi="Invesco Interstate Light"/>
          <w:b/>
          <w:bCs/>
          <w:sz w:val="22"/>
          <w:szCs w:val="22"/>
        </w:rPr>
      </w:pPr>
    </w:p>
    <w:p w14:paraId="2B06AEB4" w14:textId="288634F1" w:rsidR="00A624F1" w:rsidRPr="000061D4" w:rsidRDefault="00A624F1" w:rsidP="002D1D74">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lastRenderedPageBreak/>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A1A9" w14:textId="77777777" w:rsidR="004147DD" w:rsidRDefault="004147DD">
      <w:r>
        <w:separator/>
      </w:r>
    </w:p>
  </w:endnote>
  <w:endnote w:type="continuationSeparator" w:id="0">
    <w:p w14:paraId="03828E7B" w14:textId="77777777" w:rsidR="004147DD" w:rsidRDefault="004147DD">
      <w:r>
        <w:continuationSeparator/>
      </w:r>
    </w:p>
  </w:endnote>
  <w:endnote w:type="continuationNotice" w:id="1">
    <w:p w14:paraId="2CBFB7CE" w14:textId="77777777" w:rsidR="004147DD" w:rsidRDefault="004147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27C1" w14:textId="77777777" w:rsidR="004147DD" w:rsidRDefault="004147DD">
      <w:r>
        <w:separator/>
      </w:r>
    </w:p>
  </w:footnote>
  <w:footnote w:type="continuationSeparator" w:id="0">
    <w:p w14:paraId="2AD5C511" w14:textId="77777777" w:rsidR="004147DD" w:rsidRDefault="004147DD">
      <w:r>
        <w:continuationSeparator/>
      </w:r>
    </w:p>
  </w:footnote>
  <w:footnote w:type="continuationNotice" w:id="1">
    <w:p w14:paraId="259402D6" w14:textId="77777777" w:rsidR="004147DD" w:rsidRDefault="004147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44928AE2" w:rsidR="00702C33" w:rsidRPr="000730A6" w:rsidRDefault="00713ACA" w:rsidP="0083625E">
    <w:pPr>
      <w:pStyle w:val="Zhlav"/>
      <w:pBdr>
        <w:top w:val="single" w:sz="4" w:space="3" w:color="auto"/>
      </w:pBdr>
      <w:spacing w:line="298" w:lineRule="exact"/>
      <w:ind w:left="3402"/>
      <w:jc w:val="right"/>
      <w:rPr>
        <w:color w:val="000000"/>
        <w:sz w:val="28"/>
        <w:szCs w:val="28"/>
      </w:rPr>
    </w:pPr>
    <w:r>
      <w:rPr>
        <w:color w:val="000000"/>
        <w:sz w:val="28"/>
        <w:szCs w:val="28"/>
      </w:rPr>
      <w:t>31</w:t>
    </w:r>
    <w:r w:rsidR="0083625E">
      <w:rPr>
        <w:color w:val="000000"/>
        <w:sz w:val="28"/>
        <w:szCs w:val="28"/>
      </w:rPr>
      <w:t>.0</w:t>
    </w:r>
    <w:r w:rsidR="00A56779">
      <w:rPr>
        <w:color w:val="000000"/>
        <w:sz w:val="28"/>
        <w:szCs w:val="28"/>
      </w:rPr>
      <w:t>8</w:t>
    </w:r>
    <w:r w:rsidR="0083625E">
      <w:rPr>
        <w:color w:val="000000"/>
        <w:sz w:val="28"/>
        <w:szCs w:val="28"/>
      </w:rPr>
      <w:t>.2023</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A46D70"/>
    <w:multiLevelType w:val="multilevel"/>
    <w:tmpl w:val="11820CCE"/>
    <w:numStyleLink w:val="FormatvorlageAufgezhlt"/>
  </w:abstractNum>
  <w:abstractNum w:abstractNumId="10"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630B23"/>
    <w:multiLevelType w:val="multilevel"/>
    <w:tmpl w:val="11820CCE"/>
    <w:numStyleLink w:val="FormatvorlageAufgezhlt"/>
  </w:abstractNum>
  <w:abstractNum w:abstractNumId="14"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D403C3"/>
    <w:multiLevelType w:val="multilevel"/>
    <w:tmpl w:val="11820CCE"/>
    <w:numStyleLink w:val="FormatvorlageAufgezhlt"/>
  </w:abstractNum>
  <w:abstractNum w:abstractNumId="21" w15:restartNumberingAfterBreak="0">
    <w:nsid w:val="6C6C4721"/>
    <w:multiLevelType w:val="multilevel"/>
    <w:tmpl w:val="11820CCE"/>
    <w:numStyleLink w:val="FormatvorlageAufgezhlt"/>
  </w:abstractNum>
  <w:abstractNum w:abstractNumId="22"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E5380B"/>
    <w:multiLevelType w:val="multilevel"/>
    <w:tmpl w:val="11820CCE"/>
    <w:numStyleLink w:val="FormatvorlageAufgezhlt"/>
  </w:abstractNum>
  <w:abstractNum w:abstractNumId="24"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0"/>
  </w:num>
  <w:num w:numId="3" w16cid:durableId="1282105589">
    <w:abstractNumId w:val="18"/>
  </w:num>
  <w:num w:numId="4" w16cid:durableId="1617441895">
    <w:abstractNumId w:val="11"/>
  </w:num>
  <w:num w:numId="5" w16cid:durableId="1267425896">
    <w:abstractNumId w:val="13"/>
  </w:num>
  <w:num w:numId="6" w16cid:durableId="1792238606">
    <w:abstractNumId w:val="20"/>
  </w:num>
  <w:num w:numId="7" w16cid:durableId="190919629">
    <w:abstractNumId w:val="21"/>
  </w:num>
  <w:num w:numId="8" w16cid:durableId="2083285618">
    <w:abstractNumId w:val="1"/>
  </w:num>
  <w:num w:numId="9" w16cid:durableId="1653213567">
    <w:abstractNumId w:val="23"/>
  </w:num>
  <w:num w:numId="10" w16cid:durableId="849561851">
    <w:abstractNumId w:val="9"/>
  </w:num>
  <w:num w:numId="11" w16cid:durableId="1899129255">
    <w:abstractNumId w:val="4"/>
  </w:num>
  <w:num w:numId="12" w16cid:durableId="1348407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28"/>
  </w:num>
  <w:num w:numId="14" w16cid:durableId="2009676695">
    <w:abstractNumId w:val="29"/>
  </w:num>
  <w:num w:numId="15" w16cid:durableId="1629623239">
    <w:abstractNumId w:val="17"/>
  </w:num>
  <w:num w:numId="16" w16cid:durableId="1975720235">
    <w:abstractNumId w:val="6"/>
  </w:num>
  <w:num w:numId="17" w16cid:durableId="103501300">
    <w:abstractNumId w:val="2"/>
  </w:num>
  <w:num w:numId="18" w16cid:durableId="1434014312">
    <w:abstractNumId w:val="19"/>
  </w:num>
  <w:num w:numId="19" w16cid:durableId="832065860">
    <w:abstractNumId w:val="22"/>
  </w:num>
  <w:num w:numId="20" w16cid:durableId="667943464">
    <w:abstractNumId w:val="26"/>
  </w:num>
  <w:num w:numId="21" w16cid:durableId="225343112">
    <w:abstractNumId w:val="25"/>
  </w:num>
  <w:num w:numId="22" w16cid:durableId="1319532336">
    <w:abstractNumId w:val="8"/>
  </w:num>
  <w:num w:numId="23" w16cid:durableId="1341154147">
    <w:abstractNumId w:val="16"/>
  </w:num>
  <w:num w:numId="24" w16cid:durableId="796413596">
    <w:abstractNumId w:val="12"/>
  </w:num>
  <w:num w:numId="25" w16cid:durableId="2010979537">
    <w:abstractNumId w:val="27"/>
  </w:num>
  <w:num w:numId="26" w16cid:durableId="951936802">
    <w:abstractNumId w:val="15"/>
  </w:num>
  <w:num w:numId="27" w16cid:durableId="1672954226">
    <w:abstractNumId w:val="3"/>
  </w:num>
  <w:num w:numId="28" w16cid:durableId="953906591">
    <w:abstractNumId w:val="5"/>
  </w:num>
  <w:num w:numId="29" w16cid:durableId="923606003">
    <w:abstractNumId w:val="24"/>
  </w:num>
  <w:num w:numId="30" w16cid:durableId="299457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8234</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2023-08-31T12:50:00Z</dcterms:created>
  <dcterms:modified xsi:type="dcterms:W3CDTF">2023-08-31T12:50:00Z</dcterms:modified>
</cp:coreProperties>
</file>